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Times New Roman" w:hAnsi="Times New Roman" w:eastAsia="仿宋_GB2312" w:cs="Times New Roman"/>
          <w:color w:val="000000"/>
          <w:sz w:val="32"/>
          <w:szCs w:val="32"/>
          <w:lang w:eastAsia="zh-CN"/>
        </w:rPr>
      </w:pPr>
      <w:r>
        <w:rPr>
          <w:rFonts w:hint="eastAsia" w:ascii="黑体" w:hAnsi="黑体" w:eastAsia="黑体" w:cs="MS Mincho"/>
          <w:kern w:val="2"/>
          <w:sz w:val="32"/>
          <w:szCs w:val="32"/>
          <w:lang w:eastAsia="zh-CN"/>
        </w:rPr>
        <w:t xml:space="preserve">附件1 </w:t>
      </w:r>
      <w:r>
        <w:rPr>
          <w:rFonts w:hint="eastAsia" w:ascii="仿宋" w:hAnsi="仿宋" w:eastAsia="仿宋" w:cs="仿宋"/>
          <w:b/>
          <w:bCs/>
          <w:kern w:val="2"/>
          <w:sz w:val="32"/>
          <w:szCs w:val="40"/>
          <w:lang w:eastAsia="zh-CN"/>
        </w:rPr>
        <w:t xml:space="preserve">   </w:t>
      </w:r>
    </w:p>
    <w:p>
      <w:pPr>
        <w:spacing w:line="560" w:lineRule="exact"/>
        <w:jc w:val="center"/>
        <w:rPr>
          <w:rFonts w:ascii="Times New Roman" w:hAnsi="Times New Roman" w:eastAsia="仿宋_GB2312" w:cs="Times New Roman"/>
          <w:color w:val="000000"/>
          <w:sz w:val="32"/>
          <w:szCs w:val="32"/>
          <w:lang w:eastAsia="zh-CN"/>
        </w:rPr>
      </w:pPr>
    </w:p>
    <w:p>
      <w:pPr>
        <w:spacing w:line="560" w:lineRule="exact"/>
        <w:jc w:val="center"/>
        <w:rPr>
          <w:rFonts w:ascii="方正小标宋简体" w:hAnsi="方正小标宋_GBK" w:eastAsia="方正小标宋简体" w:cs="方正小标宋_GBK"/>
          <w:kern w:val="2"/>
          <w:sz w:val="36"/>
          <w:szCs w:val="36"/>
          <w:lang w:eastAsia="zh-CN"/>
        </w:rPr>
      </w:pPr>
      <w:r>
        <w:rPr>
          <w:rFonts w:hint="eastAsia" w:ascii="方正小标宋简体" w:hAnsi="方正小标宋_GBK" w:eastAsia="方正小标宋简体" w:cs="方正小标宋_GBK"/>
          <w:kern w:val="2"/>
          <w:sz w:val="36"/>
          <w:szCs w:val="36"/>
          <w:lang w:eastAsia="zh-CN"/>
        </w:rPr>
        <w:t>大数据产业人才基地建设指南</w:t>
      </w:r>
    </w:p>
    <w:p>
      <w:pPr>
        <w:spacing w:line="560" w:lineRule="exact"/>
        <w:jc w:val="center"/>
        <w:rPr>
          <w:rFonts w:ascii="Times New Roman" w:hAnsi="Times New Roman" w:eastAsia="仿宋_GB2312" w:cs="Times New Roman"/>
          <w:color w:val="000000"/>
          <w:sz w:val="32"/>
          <w:szCs w:val="32"/>
          <w:lang w:eastAsia="zh-CN"/>
        </w:rPr>
      </w:pPr>
    </w:p>
    <w:p>
      <w:pPr>
        <w:pStyle w:val="7"/>
        <w:spacing w:line="360" w:lineRule="auto"/>
        <w:ind w:left="0" w:right="0" w:firstLine="640" w:firstLineChars="200"/>
        <w:rPr>
          <w:rFonts w:ascii="仿宋" w:hAnsi="仿宋" w:eastAsia="仿宋" w:cs="仿宋"/>
          <w:color w:val="000000"/>
          <w:sz w:val="32"/>
          <w:szCs w:val="32"/>
          <w:lang w:eastAsia="zh-CN"/>
        </w:rPr>
      </w:pPr>
      <w:r>
        <w:rPr>
          <w:rFonts w:hint="eastAsia" w:ascii="仿宋" w:hAnsi="仿宋" w:eastAsia="仿宋" w:cs="仿宋"/>
          <w:color w:val="000000"/>
          <w:sz w:val="32"/>
          <w:szCs w:val="32"/>
          <w:lang w:eastAsia="zh-CN"/>
        </w:rPr>
        <w:t>为深入贯彻中央人才工作会议精神，落实《国家“十四五”期间人才发展规划》等文件要求，进一步加强大数据产业人才队伍建设，工业和信息化部人才交流中心（以下简称“中心”）与北京易华录信息技术股份有限公司（以下简称“易华录”）支持建设一批具备综合性人才培养与服务功能的大数据产业人才基地，充分发挥示范引领作用，为我国数字经济产业建设提供有力的人才支撑。</w:t>
      </w:r>
    </w:p>
    <w:p>
      <w:pPr>
        <w:pStyle w:val="7"/>
        <w:spacing w:before="140" w:line="360" w:lineRule="auto"/>
        <w:ind w:left="0" w:right="357" w:firstLine="640" w:firstLineChars="200"/>
        <w:rPr>
          <w:rFonts w:ascii="黑体" w:hAnsi="黑体" w:eastAsia="黑体"/>
          <w:color w:val="333333"/>
          <w:sz w:val="32"/>
          <w:szCs w:val="32"/>
          <w:lang w:eastAsia="zh-CN"/>
        </w:rPr>
      </w:pPr>
      <w:r>
        <w:rPr>
          <w:rFonts w:ascii="黑体" w:hAnsi="黑体" w:eastAsia="黑体"/>
          <w:color w:val="333333"/>
          <w:sz w:val="32"/>
          <w:szCs w:val="32"/>
          <w:lang w:eastAsia="zh-CN"/>
        </w:rPr>
        <w:t>一、项目背景</w:t>
      </w:r>
    </w:p>
    <w:p>
      <w:pPr>
        <w:pStyle w:val="16"/>
        <w:spacing w:line="360" w:lineRule="auto"/>
        <w:ind w:left="0" w:leftChars="0" w:firstLine="640" w:firstLineChars="200"/>
        <w:rPr>
          <w:rFonts w:ascii="仿宋" w:hAnsi="仿宋" w:eastAsia="仿宋" w:cs="仿宋"/>
          <w:color w:val="000000"/>
          <w:sz w:val="32"/>
          <w:szCs w:val="32"/>
          <w:lang w:eastAsia="zh-CN"/>
        </w:rPr>
      </w:pPr>
      <w:r>
        <w:rPr>
          <w:rFonts w:hint="default" w:ascii="Times New Roman" w:hAnsi="Times New Roman" w:eastAsia="仿宋" w:cs="Times New Roman"/>
          <w:color w:val="000000"/>
          <w:sz w:val="32"/>
          <w:szCs w:val="32"/>
          <w:lang w:eastAsia="zh-CN"/>
        </w:rPr>
        <w:t>2022年《国务院政府工作报告》中提出：促进数字经济发展，加强数字中国建设整体布局。建设数字信息基础设施，逐步构建全国一体化大数据中心体系。促进产业数字化转型，发展智慧城市、数字乡村。加快发展工业互联网，培育壮大集成电路、人工智能等数字产业，提升关键软硬件技术创新和供给能力。完善数字经济治理，培育数据要素市场，释放数据要素潜力，提高应用能力，更好赋能经济发展、丰富人民生活。</w:t>
      </w:r>
    </w:p>
    <w:p>
      <w:pPr>
        <w:spacing w:line="360" w:lineRule="auto"/>
        <w:ind w:firstLine="640" w:firstLineChars="200"/>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lang w:eastAsia="zh-CN"/>
        </w:rPr>
        <w:t>2021年11月15日中国工业和信息化部（以下简称工信部）发布了: 关于印发《“十四五”大数据产业发展规划》的通知。“规划”中明确：数据是新时代重要的生产要素，是国家基础性战略资源。大数据是数据的集合，以容量大、类型多、速度快、精度准、价值高为主要特征，是推动经济转型发展的新动力，是提升政府治理能力的新途径，是重塑国家竞争优势的新机遇。“十四五”时期是我国工业经济向数字经济迈进的关键时期，数据爆炸式增长、大数据行业市场规模持续扩大，大数据行业应用人才瓶颈日益凸显。</w:t>
      </w:r>
    </w:p>
    <w:p>
      <w:pPr>
        <w:pStyle w:val="7"/>
        <w:spacing w:line="360" w:lineRule="auto"/>
        <w:ind w:left="0" w:right="0" w:firstLine="640" w:firstLineChars="200"/>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lang w:eastAsia="zh-CN"/>
        </w:rPr>
        <w:t>据《中国经济的数字化转型：人才与就业》报告显示，“预计2035年，中国数字经济总就业容量将达到4.15亿，如果不实施有效的人才战略，到那时可能会出现巨大的人才缺口，不只在数量上，还有技能方面的缺口”。在当前形势下，人才交流中心联合北京易华录共同发挥平台、资源、品牌和专业技术优势，以大数据产业人才基地建设为突破口，以院校、企业为实施主体，坚持教育创新、人才培养、产业发展深度融合，联合申报单位打造大数据产业学院、人才培养基地、科技创新高地和产业赋能中心。</w:t>
      </w:r>
    </w:p>
    <w:p>
      <w:pPr>
        <w:pStyle w:val="7"/>
        <w:spacing w:before="140" w:line="360" w:lineRule="auto"/>
        <w:ind w:left="0" w:right="357" w:firstLine="640" w:firstLineChars="200"/>
        <w:rPr>
          <w:rFonts w:ascii="黑体" w:hAnsi="黑体" w:eastAsia="黑体"/>
          <w:color w:val="333333"/>
          <w:sz w:val="32"/>
          <w:szCs w:val="32"/>
          <w:lang w:eastAsia="zh-CN"/>
        </w:rPr>
      </w:pPr>
      <w:r>
        <w:rPr>
          <w:rFonts w:hint="eastAsia" w:ascii="黑体" w:hAnsi="黑体" w:eastAsia="黑体"/>
          <w:color w:val="333333"/>
          <w:sz w:val="32"/>
          <w:szCs w:val="32"/>
          <w:lang w:eastAsia="zh-CN"/>
        </w:rPr>
        <w:t>二</w:t>
      </w:r>
      <w:r>
        <w:rPr>
          <w:rFonts w:ascii="黑体" w:hAnsi="黑体" w:eastAsia="黑体"/>
          <w:color w:val="333333"/>
          <w:sz w:val="32"/>
          <w:szCs w:val="32"/>
          <w:lang w:eastAsia="zh-CN"/>
        </w:rPr>
        <w:t>、项目目标</w:t>
      </w:r>
    </w:p>
    <w:p>
      <w:pPr>
        <w:pStyle w:val="7"/>
        <w:spacing w:line="360" w:lineRule="auto"/>
        <w:ind w:left="0" w:right="0" w:firstLine="640" w:firstLineChars="200"/>
        <w:rPr>
          <w:rFonts w:ascii="仿宋" w:hAnsi="仿宋" w:eastAsia="仿宋" w:cs="仿宋"/>
          <w:color w:val="000000"/>
          <w:sz w:val="32"/>
          <w:szCs w:val="32"/>
          <w:lang w:eastAsia="zh-CN"/>
        </w:rPr>
      </w:pPr>
      <w:r>
        <w:rPr>
          <w:rFonts w:hint="eastAsia" w:ascii="仿宋" w:hAnsi="仿宋" w:eastAsia="仿宋" w:cs="仿宋"/>
          <w:color w:val="000000"/>
          <w:sz w:val="32"/>
          <w:szCs w:val="32"/>
          <w:lang w:eastAsia="zh-CN"/>
        </w:rPr>
        <w:t>支持合作单位，在三年内建成一批大数据产业人才基地。政行企校密切联动，产教学研深度融合，充分汇聚行业头部企业和院校优势，打造“人才基地+产业学院+园区企业”模式下的产教融合创新生态，加快推动大数据行业数字化、信息化、网络化、智能化转型升级。具体措施：</w:t>
      </w:r>
    </w:p>
    <w:p>
      <w:pPr>
        <w:pStyle w:val="7"/>
        <w:spacing w:line="360" w:lineRule="auto"/>
        <w:ind w:left="0" w:right="0" w:firstLine="640" w:firstLineChars="200"/>
        <w:rPr>
          <w:rFonts w:ascii="仿宋" w:hAnsi="仿宋" w:eastAsia="仿宋" w:cs="仿宋"/>
          <w:color w:val="000000"/>
          <w:sz w:val="32"/>
          <w:szCs w:val="32"/>
          <w:lang w:eastAsia="zh-CN"/>
        </w:rPr>
      </w:pPr>
      <w:r>
        <w:rPr>
          <w:rFonts w:hint="default" w:ascii="Times New Roman" w:hAnsi="Times New Roman" w:eastAsia="仿宋" w:cs="Times New Roman"/>
          <w:color w:val="000000"/>
          <w:sz w:val="32"/>
          <w:szCs w:val="32"/>
          <w:lang w:val="en-US" w:eastAsia="zh-CN"/>
        </w:rPr>
        <w:t>1.</w:t>
      </w:r>
      <w:r>
        <w:rPr>
          <w:rFonts w:hint="default" w:ascii="Times New Roman" w:hAnsi="Times New Roman" w:eastAsia="仿宋" w:cs="Times New Roman"/>
          <w:color w:val="000000"/>
          <w:sz w:val="32"/>
          <w:szCs w:val="32"/>
          <w:lang w:eastAsia="zh-CN"/>
        </w:rPr>
        <w:t>共</w:t>
      </w:r>
      <w:r>
        <w:rPr>
          <w:rFonts w:hint="eastAsia" w:ascii="仿宋" w:hAnsi="仿宋" w:eastAsia="仿宋" w:cs="仿宋"/>
          <w:color w:val="000000"/>
          <w:sz w:val="32"/>
          <w:szCs w:val="32"/>
          <w:lang w:eastAsia="zh-CN"/>
        </w:rPr>
        <w:t>建大数据产业人才基地，因地制宜打造人才培养、岗位评价、生产服务、技术研发、科学研究、创新创业等多功能的公共服务综合体，在稳定就业、调整人才结构、服务产业升级、配合招商引资等方面持续发挥作用。</w:t>
      </w:r>
    </w:p>
    <w:p>
      <w:pPr>
        <w:pStyle w:val="7"/>
        <w:spacing w:line="360" w:lineRule="auto"/>
        <w:ind w:left="0" w:leftChars="0" w:right="0" w:firstLine="640" w:firstLineChars="200"/>
        <w:rPr>
          <w:rFonts w:ascii="仿宋" w:hAnsi="仿宋" w:eastAsia="仿宋" w:cs="仿宋"/>
          <w:color w:val="000000"/>
          <w:sz w:val="32"/>
          <w:szCs w:val="32"/>
          <w:lang w:eastAsia="zh-CN"/>
        </w:rPr>
      </w:pPr>
      <w:r>
        <w:rPr>
          <w:rFonts w:hint="default" w:ascii="Times New Roman" w:hAnsi="Times New Roman" w:eastAsia="仿宋" w:cs="Times New Roman"/>
          <w:color w:val="000000"/>
          <w:sz w:val="32"/>
          <w:szCs w:val="32"/>
          <w:lang w:val="en-US" w:eastAsia="zh-CN"/>
        </w:rPr>
        <w:t>2.</w:t>
      </w:r>
      <w:r>
        <w:rPr>
          <w:rFonts w:hint="eastAsia" w:ascii="仿宋" w:hAnsi="仿宋" w:eastAsia="仿宋" w:cs="仿宋"/>
          <w:color w:val="000000"/>
          <w:sz w:val="32"/>
          <w:szCs w:val="32"/>
          <w:lang w:eastAsia="zh-CN"/>
        </w:rPr>
        <w:t>推进建设大数据产业学院，根据教育部、工业和信息化部制定的《现代产业学院建设指南（试行）》，建立产教融合协同育人长效机制，赋能大数据、人工智能、智慧交通等数字技术高水平专业群建设。</w:t>
      </w:r>
    </w:p>
    <w:p>
      <w:pPr>
        <w:pStyle w:val="7"/>
        <w:spacing w:line="360" w:lineRule="auto"/>
        <w:ind w:left="0" w:leftChars="0" w:right="0" w:firstLine="640" w:firstLineChars="200"/>
        <w:rPr>
          <w:rFonts w:ascii="仿宋" w:hAnsi="仿宋" w:eastAsia="仿宋" w:cs="仿宋"/>
          <w:color w:val="000000"/>
          <w:sz w:val="32"/>
          <w:szCs w:val="32"/>
          <w:lang w:eastAsia="zh-CN"/>
        </w:rPr>
      </w:pPr>
      <w:r>
        <w:rPr>
          <w:rFonts w:hint="default" w:ascii="Times New Roman" w:hAnsi="Times New Roman" w:eastAsia="仿宋" w:cs="Times New Roman"/>
          <w:color w:val="000000"/>
          <w:sz w:val="32"/>
          <w:szCs w:val="32"/>
          <w:lang w:val="en-US" w:eastAsia="zh-CN"/>
        </w:rPr>
        <w:t>3.</w:t>
      </w:r>
      <w:r>
        <w:rPr>
          <w:rFonts w:hint="eastAsia" w:ascii="仿宋" w:hAnsi="仿宋" w:eastAsia="仿宋" w:cs="仿宋"/>
          <w:color w:val="000000"/>
          <w:sz w:val="32"/>
          <w:szCs w:val="32"/>
          <w:lang w:eastAsia="zh-CN"/>
        </w:rPr>
        <w:t>推进建设大数据“双师型”教师培养基地，提供教学理念、教学方法、课程开发、专业技术等全体系师资培训模块，有计划、有组织地为院校教师和企业培训师提供系统性培训和实践研修服务，结合真实项目案例，为全面提高复合型技术技能人才培养质量提供师资支撑。</w:t>
      </w:r>
    </w:p>
    <w:p>
      <w:pPr>
        <w:pStyle w:val="7"/>
        <w:spacing w:line="360" w:lineRule="auto"/>
        <w:ind w:left="0" w:leftChars="0" w:right="0" w:firstLine="640" w:firstLineChars="200"/>
        <w:rPr>
          <w:rFonts w:ascii="仿宋" w:hAnsi="仿宋" w:eastAsia="仿宋" w:cs="仿宋"/>
          <w:color w:val="000000"/>
          <w:sz w:val="32"/>
          <w:szCs w:val="32"/>
          <w:lang w:eastAsia="zh-CN"/>
        </w:rPr>
      </w:pPr>
      <w:r>
        <w:rPr>
          <w:rFonts w:hint="default" w:ascii="Times New Roman" w:hAnsi="Times New Roman" w:eastAsia="仿宋" w:cs="Times New Roman"/>
          <w:color w:val="000000"/>
          <w:sz w:val="32"/>
          <w:szCs w:val="32"/>
          <w:lang w:val="en-US" w:eastAsia="zh-CN"/>
        </w:rPr>
        <w:t>4.</w:t>
      </w:r>
      <w:r>
        <w:rPr>
          <w:rFonts w:hint="eastAsia" w:ascii="仿宋" w:hAnsi="仿宋" w:eastAsia="仿宋" w:cs="仿宋"/>
          <w:color w:val="000000"/>
          <w:sz w:val="32"/>
          <w:szCs w:val="32"/>
          <w:lang w:eastAsia="zh-CN"/>
        </w:rPr>
        <w:t>深入研究大数据产教融合人才培养标准化体系，涵盖基地规划、教学工厂设计、人才培养方案、课程开发、师资团队建设、质量评估等方面，形成一批具有影响力的标志性成果，填补国内产教融合标准化领域的空白。</w:t>
      </w:r>
    </w:p>
    <w:p>
      <w:pPr>
        <w:pStyle w:val="7"/>
        <w:numPr>
          <w:ilvl w:val="0"/>
          <w:numId w:val="1"/>
        </w:numPr>
        <w:spacing w:before="140" w:line="360" w:lineRule="auto"/>
        <w:ind w:left="0" w:right="357" w:firstLine="640" w:firstLineChars="200"/>
        <w:rPr>
          <w:rFonts w:ascii="黑体" w:hAnsi="黑体" w:eastAsia="黑体"/>
          <w:color w:val="333333"/>
          <w:sz w:val="32"/>
          <w:szCs w:val="32"/>
          <w:lang w:eastAsia="zh-CN"/>
        </w:rPr>
      </w:pPr>
      <w:r>
        <w:rPr>
          <w:rFonts w:hint="eastAsia" w:ascii="黑体" w:hAnsi="黑体" w:eastAsia="黑体"/>
          <w:color w:val="333333"/>
          <w:sz w:val="32"/>
          <w:szCs w:val="32"/>
          <w:lang w:eastAsia="zh-CN"/>
        </w:rPr>
        <w:t>主要任务</w:t>
      </w:r>
    </w:p>
    <w:p>
      <w:pPr>
        <w:overflowPunct w:val="0"/>
        <w:adjustRightInd w:val="0"/>
        <w:snapToGrid w:val="0"/>
        <w:spacing w:line="360" w:lineRule="auto"/>
        <w:ind w:firstLine="640" w:firstLineChars="200"/>
        <w:outlineLvl w:val="1"/>
        <w:rPr>
          <w:rFonts w:ascii="仿宋" w:hAnsi="仿宋" w:eastAsia="仿宋" w:cs="仿宋"/>
          <w:sz w:val="32"/>
          <w:szCs w:val="24"/>
          <w:lang w:eastAsia="zh-CN"/>
        </w:rPr>
      </w:pPr>
      <w:r>
        <w:rPr>
          <w:rFonts w:hint="default" w:ascii="Times New Roman" w:hAnsi="Times New Roman" w:eastAsia="新宋体" w:cs="Times New Roman"/>
          <w:b w:val="0"/>
          <w:bCs w:val="0"/>
          <w:sz w:val="32"/>
          <w:szCs w:val="24"/>
          <w:lang w:val="en-US" w:eastAsia="zh-CN"/>
        </w:rPr>
        <w:t>1.</w:t>
      </w:r>
      <w:r>
        <w:rPr>
          <w:rFonts w:hint="eastAsia" w:ascii="楷体" w:hAnsi="楷体" w:eastAsia="楷体" w:cs="楷体"/>
          <w:b w:val="0"/>
          <w:bCs w:val="0"/>
          <w:sz w:val="32"/>
          <w:szCs w:val="24"/>
          <w:lang w:eastAsia="zh-CN"/>
        </w:rPr>
        <w:t>开展人才培养课题研究：</w:t>
      </w:r>
      <w:r>
        <w:rPr>
          <w:rFonts w:hint="eastAsia" w:ascii="仿宋" w:hAnsi="仿宋" w:eastAsia="仿宋" w:cs="仿宋"/>
          <w:sz w:val="32"/>
          <w:szCs w:val="24"/>
          <w:lang w:eastAsia="zh-CN"/>
        </w:rPr>
        <w:t>由联合申办单位作为牵头方，基于大数据人才培养基地，要从促进地区大数据产业发展为办学出发点，打造产学研一体平台，着力解决当地的人才短缺现象，以服务相关产业发展为目标。积极同相关企业进行需求对接，实现人才的有效培养，避免教育和社会脱节。</w:t>
      </w:r>
    </w:p>
    <w:p>
      <w:pPr>
        <w:overflowPunct w:val="0"/>
        <w:adjustRightInd w:val="0"/>
        <w:snapToGrid w:val="0"/>
        <w:spacing w:line="360" w:lineRule="auto"/>
        <w:ind w:firstLine="640" w:firstLineChars="200"/>
        <w:outlineLvl w:val="1"/>
        <w:rPr>
          <w:rFonts w:ascii="仿宋" w:hAnsi="仿宋" w:eastAsia="仿宋" w:cs="仿宋"/>
          <w:sz w:val="32"/>
          <w:szCs w:val="24"/>
          <w:lang w:eastAsia="zh-CN"/>
        </w:rPr>
      </w:pPr>
      <w:r>
        <w:rPr>
          <w:rFonts w:hint="default" w:ascii="Times New Roman" w:hAnsi="Times New Roman" w:eastAsia="仿宋" w:cs="Times New Roman"/>
          <w:b w:val="0"/>
          <w:bCs w:val="0"/>
          <w:sz w:val="32"/>
          <w:szCs w:val="24"/>
          <w:lang w:val="en-US" w:eastAsia="zh-CN"/>
        </w:rPr>
        <w:t>2.</w:t>
      </w:r>
      <w:r>
        <w:rPr>
          <w:rFonts w:hint="eastAsia" w:ascii="楷体" w:hAnsi="楷体" w:eastAsia="楷体" w:cs="楷体"/>
          <w:b w:val="0"/>
          <w:bCs w:val="0"/>
          <w:sz w:val="32"/>
          <w:szCs w:val="24"/>
          <w:lang w:eastAsia="zh-CN"/>
        </w:rPr>
        <w:t>制定数字人才评价标准</w:t>
      </w:r>
      <w:r>
        <w:rPr>
          <w:rFonts w:hint="eastAsia" w:ascii="仿宋" w:hAnsi="仿宋" w:eastAsia="仿宋" w:cs="仿宋"/>
          <w:sz w:val="32"/>
          <w:szCs w:val="24"/>
          <w:lang w:eastAsia="zh-CN"/>
        </w:rPr>
        <w:t>：遵照国家规定和产业要求，引入工信部人才交流中心的《大数据产业人才岗位能力要求》和《大数据从业人员能力要求》标准，使得地区的人才培养有据可依，通过评价认定一批大数据产业从业人员，并将这些数字人才纳入“地方数字人才库，帮助企业了解自身数字人才队伍结构、质量，可以在未来有针对性地不断进行调控和优化。</w:t>
      </w:r>
    </w:p>
    <w:p>
      <w:pPr>
        <w:overflowPunct w:val="0"/>
        <w:adjustRightInd w:val="0"/>
        <w:snapToGrid w:val="0"/>
        <w:spacing w:line="360" w:lineRule="auto"/>
        <w:ind w:firstLine="640" w:firstLineChars="200"/>
        <w:outlineLvl w:val="1"/>
        <w:rPr>
          <w:rFonts w:ascii="仿宋" w:hAnsi="仿宋" w:eastAsia="仿宋" w:cs="仿宋"/>
          <w:sz w:val="32"/>
          <w:szCs w:val="24"/>
          <w:lang w:eastAsia="zh-CN"/>
        </w:rPr>
      </w:pPr>
      <w:r>
        <w:rPr>
          <w:rFonts w:hint="default" w:ascii="Times New Roman" w:hAnsi="Times New Roman" w:eastAsia="楷体" w:cs="Times New Roman"/>
          <w:b w:val="0"/>
          <w:bCs w:val="0"/>
          <w:sz w:val="32"/>
          <w:szCs w:val="24"/>
          <w:lang w:val="en-US" w:eastAsia="zh-CN"/>
        </w:rPr>
        <w:t>3.</w:t>
      </w:r>
      <w:r>
        <w:rPr>
          <w:rFonts w:hint="default" w:ascii="Times New Roman" w:hAnsi="Times New Roman" w:eastAsia="楷体" w:cs="Times New Roman"/>
          <w:b w:val="0"/>
          <w:bCs w:val="0"/>
          <w:sz w:val="32"/>
          <w:szCs w:val="24"/>
          <w:lang w:eastAsia="zh-CN"/>
        </w:rPr>
        <w:t>构建数字人才发展培养体系：</w:t>
      </w:r>
      <w:r>
        <w:rPr>
          <w:rFonts w:hint="eastAsia" w:ascii="仿宋" w:hAnsi="仿宋" w:eastAsia="仿宋" w:cs="仿宋"/>
          <w:sz w:val="32"/>
          <w:szCs w:val="24"/>
          <w:lang w:eastAsia="zh-CN"/>
        </w:rPr>
        <w:t>引进一套面向产业实战需求，面向地方产业发展需求的数字人才培养体系，保障人才培养的前沿性、靶向性，更加科学、规范、高效、系统的培养地方所需的数字产业人才队伍，为企业的人才营商环境的打造做好支撑。</w:t>
      </w:r>
    </w:p>
    <w:p>
      <w:pPr>
        <w:overflowPunct w:val="0"/>
        <w:adjustRightInd w:val="0"/>
        <w:snapToGrid w:val="0"/>
        <w:spacing w:line="360" w:lineRule="auto"/>
        <w:ind w:firstLine="640" w:firstLineChars="200"/>
        <w:jc w:val="both"/>
        <w:outlineLvl w:val="1"/>
        <w:rPr>
          <w:rFonts w:ascii="仿宋" w:hAnsi="仿宋" w:eastAsia="仿宋" w:cs="仿宋"/>
          <w:sz w:val="32"/>
          <w:szCs w:val="24"/>
          <w:lang w:eastAsia="zh-CN"/>
        </w:rPr>
      </w:pPr>
      <w:r>
        <w:rPr>
          <w:rFonts w:hint="default" w:ascii="Times New Roman" w:hAnsi="Times New Roman" w:eastAsia="楷体" w:cs="Times New Roman"/>
          <w:b w:val="0"/>
          <w:bCs w:val="0"/>
          <w:sz w:val="32"/>
          <w:szCs w:val="24"/>
          <w:lang w:val="en-US" w:eastAsia="zh-CN"/>
        </w:rPr>
        <w:t>4.</w:t>
      </w:r>
      <w:r>
        <w:rPr>
          <w:rFonts w:hint="default" w:ascii="Times New Roman" w:hAnsi="Times New Roman" w:eastAsia="楷体" w:cs="Times New Roman"/>
          <w:b w:val="0"/>
          <w:bCs w:val="0"/>
          <w:sz w:val="32"/>
          <w:szCs w:val="24"/>
          <w:lang w:eastAsia="zh-CN"/>
        </w:rPr>
        <w:t>搭建实训培养平台：</w:t>
      </w:r>
      <w:r>
        <w:rPr>
          <w:rFonts w:hint="eastAsia" w:ascii="仿宋" w:hAnsi="仿宋" w:eastAsia="仿宋" w:cs="仿宋"/>
          <w:sz w:val="32"/>
          <w:szCs w:val="24"/>
          <w:lang w:eastAsia="zh-CN"/>
        </w:rPr>
        <w:t>面向产、学、研的综合人才培养平台，依托易华录数据湖的平台优势，打造多层次、多模式的复合型数字人才培养平台，人才工作依附于产业发展。通过企业为人才提供平台，做到人岗相适，让本土人才得到实践锻炼。</w:t>
      </w:r>
    </w:p>
    <w:p>
      <w:pPr>
        <w:overflowPunct w:val="0"/>
        <w:adjustRightInd w:val="0"/>
        <w:snapToGrid w:val="0"/>
        <w:spacing w:line="360" w:lineRule="auto"/>
        <w:ind w:firstLine="640" w:firstLineChars="200"/>
        <w:jc w:val="both"/>
        <w:outlineLvl w:val="1"/>
        <w:rPr>
          <w:rFonts w:ascii="仿宋" w:hAnsi="仿宋" w:eastAsia="仿宋" w:cs="仿宋"/>
          <w:sz w:val="32"/>
          <w:szCs w:val="24"/>
          <w:lang w:eastAsia="zh-CN"/>
        </w:rPr>
      </w:pPr>
      <w:r>
        <w:rPr>
          <w:rFonts w:hint="default" w:ascii="Times New Roman" w:hAnsi="Times New Roman" w:eastAsia="楷体" w:cs="Times New Roman"/>
          <w:b w:val="0"/>
          <w:bCs w:val="0"/>
          <w:sz w:val="32"/>
          <w:szCs w:val="24"/>
          <w:lang w:val="en-US" w:eastAsia="zh-CN"/>
        </w:rPr>
        <w:t>5.</w:t>
      </w:r>
      <w:r>
        <w:rPr>
          <w:rFonts w:hint="default" w:ascii="Times New Roman" w:hAnsi="Times New Roman" w:eastAsia="楷体" w:cs="Times New Roman"/>
          <w:b w:val="0"/>
          <w:bCs w:val="0"/>
          <w:sz w:val="32"/>
          <w:szCs w:val="24"/>
          <w:lang w:eastAsia="zh-CN"/>
        </w:rPr>
        <w:t>建设一个培养基地</w:t>
      </w:r>
      <w:r>
        <w:rPr>
          <w:rFonts w:hint="eastAsia" w:ascii="仿宋" w:hAnsi="仿宋" w:eastAsia="仿宋" w:cs="仿宋"/>
          <w:sz w:val="32"/>
          <w:szCs w:val="24"/>
          <w:lang w:eastAsia="zh-CN"/>
        </w:rPr>
        <w:t>：搭建“数字人才培训基地”，基地将面向政府、企业、学校、个人开展数字技术的教育和人才培养，校企合作培养“双师型”教师，通过培训、论坛、大赛、活动等多种形式，提升地区全面数字素养，力争成为国家、地区、行业认可的职业技能及数字人才培养机构，成为地区数字人才培养的发动机。</w:t>
      </w:r>
    </w:p>
    <w:p>
      <w:pPr>
        <w:overflowPunct w:val="0"/>
        <w:adjustRightInd w:val="0"/>
        <w:snapToGrid w:val="0"/>
        <w:spacing w:line="360" w:lineRule="auto"/>
        <w:ind w:firstLine="640" w:firstLineChars="200"/>
        <w:jc w:val="both"/>
        <w:outlineLvl w:val="1"/>
        <w:rPr>
          <w:rFonts w:ascii="仿宋" w:hAnsi="仿宋" w:eastAsia="仿宋" w:cs="仿宋"/>
          <w:sz w:val="32"/>
          <w:szCs w:val="24"/>
          <w:lang w:eastAsia="zh-CN"/>
        </w:rPr>
      </w:pPr>
      <w:r>
        <w:rPr>
          <w:rFonts w:hint="default" w:ascii="Times New Roman" w:hAnsi="Times New Roman" w:eastAsia="楷体" w:cs="Times New Roman"/>
          <w:b w:val="0"/>
          <w:bCs w:val="0"/>
          <w:sz w:val="32"/>
          <w:szCs w:val="24"/>
          <w:lang w:val="en-US" w:eastAsia="zh-CN"/>
        </w:rPr>
        <w:t>6.</w:t>
      </w:r>
      <w:r>
        <w:rPr>
          <w:rFonts w:hint="default" w:ascii="Times New Roman" w:hAnsi="Times New Roman" w:eastAsia="楷体" w:cs="Times New Roman"/>
          <w:b w:val="0"/>
          <w:bCs w:val="0"/>
          <w:sz w:val="32"/>
          <w:szCs w:val="24"/>
          <w:lang w:eastAsia="zh-CN"/>
        </w:rPr>
        <w:t>开展产学研协同能力提升计划：</w:t>
      </w:r>
      <w:r>
        <w:rPr>
          <w:rFonts w:hint="eastAsia" w:ascii="仿宋" w:hAnsi="仿宋" w:eastAsia="仿宋" w:cs="仿宋"/>
          <w:sz w:val="32"/>
          <w:szCs w:val="24"/>
          <w:lang w:eastAsia="zh-CN"/>
        </w:rPr>
        <w:t>为解决政务数字化、企业数字化、教育数字化、全民数字化的素养及能力提升，着力建设以“资源汇集、线上学习、信息发布、社群交流”为核心的模式，构建覆盖全民、城乡融合、可持续发展的数字素养与技能人才体系，拓展全民数字生活、数字工作、数字学习、数字创新等场景，提升全民数字化适应力、胜任力、创造力，增强人才积累，厚植创新发展新优势。</w:t>
      </w:r>
    </w:p>
    <w:p>
      <w:pPr>
        <w:overflowPunct w:val="0"/>
        <w:adjustRightInd w:val="0"/>
        <w:snapToGrid w:val="0"/>
        <w:spacing w:line="360" w:lineRule="auto"/>
        <w:ind w:firstLine="640" w:firstLineChars="200"/>
        <w:jc w:val="both"/>
        <w:outlineLvl w:val="1"/>
        <w:rPr>
          <w:rFonts w:ascii="仿宋" w:hAnsi="仿宋" w:eastAsia="仿宋" w:cs="仿宋"/>
          <w:color w:val="333333"/>
          <w:sz w:val="32"/>
          <w:szCs w:val="32"/>
          <w:lang w:eastAsia="zh-CN"/>
        </w:rPr>
      </w:pPr>
      <w:r>
        <w:rPr>
          <w:rFonts w:hint="default" w:ascii="Times New Roman" w:hAnsi="Times New Roman" w:eastAsia="楷体" w:cs="Times New Roman"/>
          <w:b w:val="0"/>
          <w:bCs w:val="0"/>
          <w:sz w:val="32"/>
          <w:szCs w:val="24"/>
          <w:lang w:val="en-US" w:eastAsia="zh-CN"/>
        </w:rPr>
        <w:t>7.</w:t>
      </w:r>
      <w:r>
        <w:rPr>
          <w:rFonts w:hint="default" w:ascii="Times New Roman" w:hAnsi="Times New Roman" w:eastAsia="楷体" w:cs="Times New Roman"/>
          <w:b w:val="0"/>
          <w:bCs w:val="0"/>
          <w:sz w:val="32"/>
          <w:szCs w:val="24"/>
          <w:lang w:eastAsia="zh-CN"/>
        </w:rPr>
        <w:t>提供就业支持保障体系：</w:t>
      </w:r>
      <w:r>
        <w:rPr>
          <w:rFonts w:hint="eastAsia" w:ascii="仿宋" w:hAnsi="仿宋" w:eastAsia="仿宋" w:cs="仿宋"/>
          <w:sz w:val="32"/>
          <w:szCs w:val="24"/>
          <w:lang w:eastAsia="zh-CN"/>
        </w:rPr>
        <w:t>加大企业创新激励力度，特别是在行政审批、税收政策与融资渠道等方面应适当放宽限制。着力构建有利于各类劳动者就业创业的制度保障和服务支撑，以“平台雇佣模式、工业互联网平台就业、信息内容平台就业、电商平台就业、劳务平台就业”为核心的就业保证体系。</w:t>
      </w:r>
    </w:p>
    <w:p>
      <w:pPr>
        <w:pStyle w:val="7"/>
        <w:spacing w:before="140" w:line="360" w:lineRule="auto"/>
        <w:ind w:left="0" w:right="357" w:firstLine="640" w:firstLineChars="200"/>
        <w:rPr>
          <w:rFonts w:ascii="黑体" w:hAnsi="黑体" w:eastAsia="黑体"/>
          <w:color w:val="333333"/>
          <w:sz w:val="32"/>
          <w:szCs w:val="32"/>
          <w:lang w:eastAsia="zh-CN"/>
        </w:rPr>
      </w:pPr>
      <w:r>
        <w:rPr>
          <w:rFonts w:hint="eastAsia" w:ascii="黑体" w:hAnsi="黑体" w:eastAsia="黑体"/>
          <w:color w:val="333333"/>
          <w:sz w:val="32"/>
          <w:szCs w:val="32"/>
          <w:lang w:eastAsia="zh-CN"/>
        </w:rPr>
        <w:t>四、项目支持</w:t>
      </w:r>
    </w:p>
    <w:p>
      <w:pPr>
        <w:spacing w:line="360" w:lineRule="auto"/>
        <w:ind w:firstLine="640" w:firstLineChars="200"/>
        <w:jc w:val="both"/>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中心与易华录共建的产业人才赋能基地大数据研发中心为载体，共同组织评审专家，协同开展项目的评审立项及后期建设督导工作，为参建单位量身定制产业人才基地建设和运营方案，在合作期内为参建单位提供全方位支持。</w:t>
      </w:r>
    </w:p>
    <w:p>
      <w:pPr>
        <w:spacing w:line="360" w:lineRule="auto"/>
        <w:ind w:firstLine="640" w:firstLineChars="200"/>
        <w:jc w:val="both"/>
        <w:rPr>
          <w:rFonts w:ascii="仿宋" w:hAnsi="仿宋" w:eastAsia="仿宋" w:cs="仿宋"/>
          <w:color w:val="000000"/>
          <w:sz w:val="32"/>
          <w:szCs w:val="32"/>
          <w:lang w:eastAsia="zh-CN"/>
        </w:rPr>
      </w:pPr>
      <w:r>
        <w:rPr>
          <w:rFonts w:hint="eastAsia" w:ascii="仿宋" w:hAnsi="仿宋" w:eastAsia="仿宋" w:cs="仿宋"/>
          <w:color w:val="000000"/>
          <w:sz w:val="32"/>
          <w:szCs w:val="32"/>
          <w:lang w:eastAsia="zh-CN"/>
        </w:rPr>
        <w:t>（一）适时通过遴选优秀案例、召开专题研讨会等形式，进行成果展示和经验交流，提升院校知名度与影响力。</w:t>
      </w:r>
    </w:p>
    <w:p>
      <w:pPr>
        <w:spacing w:line="360" w:lineRule="auto"/>
        <w:ind w:firstLine="640" w:firstLineChars="200"/>
        <w:jc w:val="both"/>
        <w:rPr>
          <w:rFonts w:ascii="仿宋" w:hAnsi="仿宋" w:eastAsia="仿宋" w:cs="仿宋"/>
          <w:color w:val="000000"/>
          <w:sz w:val="32"/>
          <w:szCs w:val="32"/>
          <w:lang w:eastAsia="zh-CN"/>
        </w:rPr>
      </w:pPr>
      <w:r>
        <w:rPr>
          <w:rFonts w:hint="eastAsia" w:ascii="仿宋" w:hAnsi="仿宋" w:eastAsia="仿宋" w:cs="仿宋"/>
          <w:color w:val="000000"/>
          <w:sz w:val="32"/>
          <w:szCs w:val="32"/>
          <w:lang w:eastAsia="zh-CN"/>
        </w:rPr>
        <w:t>（二）获得中心、地方工信厅（局）等行业主管部门的指导与政策支持，深度参与地区产业人才培养工作。</w:t>
      </w:r>
    </w:p>
    <w:p>
      <w:pPr>
        <w:spacing w:line="360" w:lineRule="auto"/>
        <w:ind w:firstLine="640" w:firstLineChars="200"/>
        <w:jc w:val="both"/>
        <w:rPr>
          <w:rFonts w:ascii="仿宋" w:hAnsi="仿宋" w:eastAsia="仿宋" w:cs="仿宋"/>
          <w:color w:val="000000"/>
          <w:sz w:val="32"/>
          <w:szCs w:val="32"/>
          <w:lang w:eastAsia="zh-CN"/>
        </w:rPr>
      </w:pPr>
      <w:r>
        <w:rPr>
          <w:rFonts w:hint="eastAsia" w:ascii="仿宋" w:hAnsi="仿宋" w:eastAsia="仿宋" w:cs="仿宋"/>
          <w:color w:val="000000"/>
          <w:sz w:val="32"/>
          <w:szCs w:val="32"/>
          <w:lang w:eastAsia="zh-CN"/>
        </w:rPr>
        <w:t>（三）优先参与中心、头部企业组织的重点领域细分岗位人才需求调研，优先参与岗位人才能力标准制定。</w:t>
      </w:r>
    </w:p>
    <w:p>
      <w:pPr>
        <w:spacing w:line="360" w:lineRule="auto"/>
        <w:ind w:firstLine="640" w:firstLineChars="200"/>
        <w:jc w:val="both"/>
        <w:rPr>
          <w:rFonts w:ascii="仿宋" w:hAnsi="仿宋" w:eastAsia="仿宋" w:cs="仿宋"/>
          <w:color w:val="000000"/>
          <w:sz w:val="32"/>
          <w:szCs w:val="32"/>
          <w:lang w:eastAsia="zh-CN"/>
        </w:rPr>
      </w:pPr>
      <w:r>
        <w:rPr>
          <w:rFonts w:hint="eastAsia" w:ascii="仿宋" w:hAnsi="仿宋" w:eastAsia="仿宋" w:cs="仿宋"/>
          <w:color w:val="000000"/>
          <w:sz w:val="32"/>
          <w:szCs w:val="32"/>
          <w:lang w:eastAsia="zh-CN"/>
        </w:rPr>
        <w:t>（四）获得资深专家团队的咨询指导服务，不限于评估诊断、专家咨询、研究开发、培训辅导、现场服务等方式。</w:t>
      </w:r>
    </w:p>
    <w:p>
      <w:pPr>
        <w:spacing w:line="360" w:lineRule="auto"/>
        <w:ind w:firstLine="640" w:firstLineChars="200"/>
        <w:jc w:val="both"/>
        <w:rPr>
          <w:rFonts w:ascii="仿宋" w:hAnsi="仿宋" w:eastAsia="仿宋" w:cs="仿宋"/>
          <w:color w:val="000000"/>
          <w:sz w:val="32"/>
          <w:szCs w:val="32"/>
          <w:lang w:eastAsia="zh-CN"/>
        </w:rPr>
      </w:pPr>
      <w:r>
        <w:rPr>
          <w:rFonts w:hint="eastAsia" w:ascii="仿宋" w:hAnsi="仿宋" w:eastAsia="仿宋" w:cs="仿宋"/>
          <w:color w:val="000000"/>
          <w:sz w:val="32"/>
          <w:szCs w:val="32"/>
          <w:lang w:eastAsia="zh-CN"/>
        </w:rPr>
        <w:t>（五）授权开展本地区乃至全国范围内的大数据产业人才培训，以及开展配套的岗位能力测评，获得经济效益和社会效益。</w:t>
      </w:r>
    </w:p>
    <w:p>
      <w:pPr>
        <w:spacing w:line="360" w:lineRule="auto"/>
        <w:ind w:firstLine="640" w:firstLineChars="200"/>
        <w:jc w:val="both"/>
        <w:rPr>
          <w:rFonts w:ascii="仿宋" w:hAnsi="仿宋" w:eastAsia="仿宋" w:cs="仿宋"/>
          <w:color w:val="000000"/>
          <w:sz w:val="32"/>
          <w:szCs w:val="32"/>
          <w:lang w:eastAsia="zh-CN"/>
        </w:rPr>
      </w:pPr>
      <w:r>
        <w:rPr>
          <w:rFonts w:hint="eastAsia" w:ascii="仿宋" w:hAnsi="仿宋" w:eastAsia="仿宋" w:cs="仿宋"/>
          <w:color w:val="000000"/>
          <w:sz w:val="32"/>
          <w:szCs w:val="32"/>
          <w:lang w:eastAsia="zh-CN"/>
        </w:rPr>
        <w:t>（六）优先加入产业人才基地联盟，获得政府、企业、高校的资源支持，共同举办人才论坛、人才报告发布会等活动。</w:t>
      </w:r>
    </w:p>
    <w:p>
      <w:pPr>
        <w:pStyle w:val="7"/>
        <w:spacing w:before="140" w:line="360" w:lineRule="auto"/>
        <w:ind w:left="0" w:right="357" w:firstLine="640" w:firstLineChars="200"/>
        <w:rPr>
          <w:rFonts w:ascii="黑体" w:hAnsi="黑体" w:eastAsia="黑体"/>
          <w:color w:val="333333"/>
          <w:sz w:val="32"/>
          <w:szCs w:val="32"/>
          <w:lang w:eastAsia="zh-CN"/>
        </w:rPr>
      </w:pPr>
      <w:r>
        <w:rPr>
          <w:rFonts w:hint="eastAsia" w:ascii="黑体" w:hAnsi="黑体" w:eastAsia="黑体"/>
          <w:color w:val="333333"/>
          <w:sz w:val="32"/>
          <w:szCs w:val="32"/>
          <w:lang w:eastAsia="zh-CN"/>
        </w:rPr>
        <w:t>五、申报与建设</w:t>
      </w:r>
    </w:p>
    <w:p>
      <w:pPr>
        <w:spacing w:line="360" w:lineRule="auto"/>
        <w:ind w:firstLine="640" w:firstLineChars="200"/>
        <w:jc w:val="both"/>
        <w:rPr>
          <w:rFonts w:ascii="楷体" w:hAnsi="楷体" w:eastAsia="楷体" w:cs="楷体"/>
          <w:color w:val="000000"/>
          <w:sz w:val="32"/>
          <w:szCs w:val="32"/>
          <w:lang w:eastAsia="zh-CN"/>
        </w:rPr>
      </w:pPr>
      <w:r>
        <w:rPr>
          <w:rFonts w:hint="eastAsia" w:ascii="楷体" w:hAnsi="楷体" w:eastAsia="楷体" w:cs="楷体"/>
          <w:color w:val="000000"/>
          <w:sz w:val="32"/>
          <w:szCs w:val="32"/>
          <w:lang w:eastAsia="zh-CN"/>
        </w:rPr>
        <w:t>（一）申报条件</w:t>
      </w:r>
    </w:p>
    <w:p>
      <w:pPr>
        <w:spacing w:line="360" w:lineRule="auto"/>
        <w:ind w:firstLine="640" w:firstLineChars="200"/>
        <w:jc w:val="both"/>
        <w:rPr>
          <w:rFonts w:hint="default" w:ascii="Times New Roman" w:hAnsi="Times New Roman" w:eastAsia="仿宋" w:cs="Times New Roman"/>
          <w:color w:val="000000"/>
          <w:sz w:val="32"/>
          <w:szCs w:val="32"/>
          <w:lang w:eastAsia="zh-CN"/>
        </w:rPr>
      </w:pPr>
      <w:r>
        <w:rPr>
          <w:rFonts w:hint="eastAsia" w:ascii="仿宋" w:hAnsi="仿宋" w:eastAsia="仿宋" w:cs="仿宋"/>
          <w:color w:val="000000"/>
          <w:sz w:val="32"/>
          <w:szCs w:val="32"/>
          <w:lang w:eastAsia="zh-CN"/>
        </w:rPr>
        <w:t>申报主体为头部企业、专业机构、行业协会、优质院校等</w:t>
      </w:r>
      <w:r>
        <w:rPr>
          <w:rFonts w:hint="default" w:ascii="Times New Roman" w:hAnsi="Times New Roman" w:eastAsia="仿宋" w:cs="Times New Roman"/>
          <w:color w:val="000000"/>
          <w:sz w:val="32"/>
          <w:szCs w:val="32"/>
          <w:lang w:eastAsia="zh-CN"/>
        </w:rPr>
        <w:t>，具体要求如下：</w:t>
      </w:r>
    </w:p>
    <w:p>
      <w:pPr>
        <w:pStyle w:val="14"/>
        <w:spacing w:before="0" w:line="360" w:lineRule="auto"/>
        <w:ind w:left="0" w:firstLine="640" w:firstLineChars="200"/>
        <w:jc w:val="both"/>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lang w:eastAsia="zh-CN"/>
        </w:rPr>
        <w:t>1.在中国境内依法登记注册、具有独立法人资格；</w:t>
      </w:r>
    </w:p>
    <w:p>
      <w:pPr>
        <w:pStyle w:val="14"/>
        <w:spacing w:before="0" w:line="360" w:lineRule="auto"/>
        <w:ind w:left="0" w:firstLine="640" w:firstLineChars="200"/>
        <w:jc w:val="both"/>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lang w:eastAsia="zh-CN"/>
        </w:rPr>
        <w:t>2.在申报区域内具有一定的社会影响力；</w:t>
      </w:r>
    </w:p>
    <w:p>
      <w:pPr>
        <w:pStyle w:val="14"/>
        <w:spacing w:before="0" w:line="360" w:lineRule="auto"/>
        <w:ind w:left="0" w:firstLine="640" w:firstLineChars="200"/>
        <w:jc w:val="both"/>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lang w:eastAsia="zh-CN"/>
        </w:rPr>
        <w:t>3.具备完成基地建设任务的基础条件和运营团队；</w:t>
      </w:r>
    </w:p>
    <w:p>
      <w:pPr>
        <w:pStyle w:val="14"/>
        <w:spacing w:before="0" w:line="360" w:lineRule="auto"/>
        <w:ind w:left="0" w:firstLine="640" w:firstLineChars="200"/>
        <w:jc w:val="both"/>
        <w:rPr>
          <w:rFonts w:ascii="仿宋" w:hAnsi="仿宋" w:eastAsia="仿宋" w:cs="仿宋"/>
          <w:color w:val="000000"/>
          <w:sz w:val="32"/>
          <w:szCs w:val="32"/>
          <w:lang w:eastAsia="zh-CN"/>
        </w:rPr>
      </w:pPr>
      <w:r>
        <w:rPr>
          <w:rFonts w:hint="default" w:ascii="Times New Roman" w:hAnsi="Times New Roman" w:eastAsia="仿宋" w:cs="Times New Roman"/>
          <w:color w:val="000000"/>
          <w:sz w:val="32"/>
          <w:szCs w:val="32"/>
          <w:lang w:eastAsia="zh-CN"/>
        </w:rPr>
        <w:t>4.能够为</w:t>
      </w:r>
      <w:r>
        <w:rPr>
          <w:rFonts w:hint="eastAsia" w:ascii="仿宋" w:hAnsi="仿宋" w:eastAsia="仿宋" w:cs="仿宋"/>
          <w:color w:val="000000"/>
          <w:sz w:val="32"/>
          <w:szCs w:val="32"/>
          <w:lang w:eastAsia="zh-CN"/>
        </w:rPr>
        <w:t>完成基地建设提供政策和资金支持。</w:t>
      </w:r>
    </w:p>
    <w:p>
      <w:pPr>
        <w:spacing w:line="360" w:lineRule="auto"/>
        <w:ind w:firstLine="640" w:firstLineChars="200"/>
        <w:jc w:val="both"/>
        <w:rPr>
          <w:rFonts w:ascii="楷体" w:hAnsi="楷体" w:eastAsia="楷体" w:cs="楷体"/>
          <w:color w:val="000000"/>
          <w:sz w:val="32"/>
          <w:szCs w:val="32"/>
          <w:lang w:eastAsia="zh-CN"/>
        </w:rPr>
      </w:pPr>
      <w:r>
        <w:rPr>
          <w:rFonts w:hint="eastAsia" w:ascii="楷体" w:hAnsi="楷体" w:eastAsia="楷体" w:cs="楷体"/>
          <w:color w:val="000000"/>
          <w:sz w:val="32"/>
          <w:szCs w:val="32"/>
          <w:lang w:eastAsia="zh-CN"/>
        </w:rPr>
        <w:t>（二）评审流程</w:t>
      </w:r>
    </w:p>
    <w:p>
      <w:pPr>
        <w:pStyle w:val="14"/>
        <w:spacing w:before="0" w:line="360" w:lineRule="auto"/>
        <w:ind w:left="0" w:firstLine="640" w:firstLineChars="200"/>
        <w:jc w:val="both"/>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lang w:eastAsia="zh-CN"/>
        </w:rPr>
        <w:t>1.申报单位应认真阅读通知及指南，在自愿基础上申报，对建设所需的资金、人员、场地等要素进行初步规划，单位负责人批准后提交申报材料。</w:t>
      </w:r>
    </w:p>
    <w:p>
      <w:pPr>
        <w:pStyle w:val="14"/>
        <w:spacing w:before="0" w:line="360" w:lineRule="auto"/>
        <w:ind w:left="0" w:firstLine="640" w:firstLineChars="200"/>
        <w:jc w:val="both"/>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lang w:eastAsia="zh-CN"/>
        </w:rPr>
        <w:t>2.组织评审专家线上或线下调研，系统考察申报单位申报材料的合理性、真实性以及建设基础，形成评审意见。</w:t>
      </w:r>
    </w:p>
    <w:p>
      <w:pPr>
        <w:pStyle w:val="14"/>
        <w:spacing w:before="0" w:line="360" w:lineRule="auto"/>
        <w:ind w:left="0" w:firstLine="640" w:firstLineChars="200"/>
        <w:jc w:val="both"/>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lang w:eastAsia="zh-CN"/>
        </w:rPr>
        <w:t>3.依据产业资源分布特点与申报高校实际情况，结合专家评审意见遴选入围高校。</w:t>
      </w:r>
    </w:p>
    <w:p>
      <w:pPr>
        <w:pStyle w:val="14"/>
        <w:spacing w:before="0" w:line="360" w:lineRule="auto"/>
        <w:ind w:left="0" w:firstLine="640" w:firstLineChars="200"/>
        <w:jc w:val="both"/>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lang w:eastAsia="zh-CN"/>
        </w:rPr>
        <w:t>4.明确合作机制、签订合作协议后，书面通知启动立项，正式公布并授牌。</w:t>
      </w:r>
    </w:p>
    <w:p>
      <w:pPr>
        <w:spacing w:line="360" w:lineRule="auto"/>
        <w:ind w:firstLine="640" w:firstLineChars="200"/>
        <w:jc w:val="both"/>
        <w:rPr>
          <w:rFonts w:ascii="楷体" w:hAnsi="楷体" w:eastAsia="楷体" w:cs="楷体"/>
          <w:color w:val="000000"/>
          <w:sz w:val="32"/>
          <w:szCs w:val="32"/>
          <w:lang w:eastAsia="zh-CN"/>
        </w:rPr>
      </w:pPr>
      <w:r>
        <w:rPr>
          <w:rFonts w:hint="eastAsia" w:ascii="楷体" w:hAnsi="楷体" w:eastAsia="楷体" w:cs="楷体"/>
          <w:color w:val="000000"/>
          <w:sz w:val="32"/>
          <w:szCs w:val="32"/>
          <w:lang w:eastAsia="zh-CN"/>
        </w:rPr>
        <w:t>（三）建设流程</w:t>
      </w:r>
    </w:p>
    <w:p>
      <w:pPr>
        <w:pStyle w:val="14"/>
        <w:spacing w:before="0" w:line="360" w:lineRule="auto"/>
        <w:ind w:left="0" w:firstLine="640" w:firstLineChars="200"/>
        <w:jc w:val="both"/>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lang w:eastAsia="zh-CN"/>
        </w:rPr>
        <w:t>1.在中心的指导下，易华录帮助申报单位进行基地建设规划。</w:t>
      </w:r>
    </w:p>
    <w:p>
      <w:pPr>
        <w:pStyle w:val="14"/>
        <w:spacing w:before="0" w:line="360" w:lineRule="auto"/>
        <w:ind w:left="0" w:firstLine="640" w:firstLineChars="200"/>
        <w:jc w:val="both"/>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lang w:eastAsia="zh-CN"/>
        </w:rPr>
        <w:t>2.原则上以一年为周期，对基地建设情况进行监督、检查和评价，对存在的问题提出改进意见并督促落实。</w:t>
      </w:r>
    </w:p>
    <w:p>
      <w:pPr>
        <w:pStyle w:val="14"/>
        <w:spacing w:before="0" w:line="360" w:lineRule="auto"/>
        <w:ind w:left="0" w:firstLine="640" w:firstLineChars="200"/>
        <w:jc w:val="both"/>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lang w:eastAsia="zh-CN"/>
        </w:rPr>
        <w:t>3.存在重大问题的基</w:t>
      </w:r>
      <w:bookmarkStart w:id="0" w:name="_GoBack"/>
      <w:bookmarkEnd w:id="0"/>
      <w:r>
        <w:rPr>
          <w:rFonts w:hint="default" w:ascii="Times New Roman" w:hAnsi="Times New Roman" w:eastAsia="仿宋" w:cs="Times New Roman"/>
          <w:color w:val="000000"/>
          <w:sz w:val="32"/>
          <w:szCs w:val="32"/>
          <w:lang w:eastAsia="zh-CN"/>
        </w:rPr>
        <w:t>地将给予预警，预警后下一信息反馈周期内未进行有效改进的基地将退出建设项目并摘牌。</w:t>
      </w:r>
    </w:p>
    <w:p>
      <w:pPr>
        <w:pStyle w:val="14"/>
        <w:spacing w:before="0" w:line="360" w:lineRule="auto"/>
        <w:ind w:left="0" w:firstLine="640" w:firstLineChars="200"/>
        <w:jc w:val="both"/>
        <w:rPr>
          <w:rFonts w:hint="default" w:ascii="Times New Roman" w:hAnsi="Times New Roman" w:eastAsia="仿宋" w:cs="Times New Roman"/>
          <w:color w:val="000000"/>
          <w:sz w:val="32"/>
          <w:szCs w:val="32"/>
          <w:lang w:eastAsia="zh-CN"/>
        </w:rPr>
      </w:pPr>
      <w:r>
        <w:rPr>
          <w:rFonts w:hint="default" w:ascii="Times New Roman" w:hAnsi="Times New Roman" w:eastAsia="仿宋" w:cs="Times New Roman"/>
          <w:color w:val="000000"/>
          <w:sz w:val="32"/>
          <w:szCs w:val="32"/>
          <w:lang w:eastAsia="zh-CN"/>
        </w:rPr>
        <w:t>4.申报单位如有出现违法违规等行为，一经查实，予以撤销认定。</w:t>
      </w:r>
    </w:p>
    <w:p>
      <w:pPr>
        <w:pStyle w:val="14"/>
        <w:spacing w:before="0" w:line="360" w:lineRule="auto"/>
        <w:ind w:left="0" w:firstLine="640" w:firstLineChars="200"/>
        <w:jc w:val="both"/>
        <w:rPr>
          <w:rFonts w:ascii="仿宋" w:hAnsi="仿宋" w:eastAsia="仿宋" w:cs="仿宋"/>
          <w:color w:val="000000"/>
          <w:sz w:val="32"/>
          <w:szCs w:val="32"/>
          <w:lang w:eastAsia="zh-CN"/>
        </w:rPr>
      </w:pPr>
      <w:r>
        <w:rPr>
          <w:rFonts w:hint="default" w:ascii="Times New Roman" w:hAnsi="Times New Roman" w:eastAsia="仿宋" w:cs="Times New Roman"/>
          <w:color w:val="000000"/>
          <w:sz w:val="32"/>
          <w:szCs w:val="32"/>
          <w:lang w:eastAsia="zh-CN"/>
        </w:rPr>
        <w:t>5.由中心设定优秀基地评选标准，每年评选优秀基地，予以表彰及公</w:t>
      </w:r>
      <w:r>
        <w:rPr>
          <w:rFonts w:hint="eastAsia" w:ascii="仿宋" w:hAnsi="仿宋" w:eastAsia="仿宋" w:cs="仿宋"/>
          <w:color w:val="000000"/>
          <w:sz w:val="32"/>
          <w:szCs w:val="32"/>
          <w:lang w:eastAsia="zh-CN"/>
        </w:rPr>
        <w:t>示，推广先进经验。</w:t>
      </w:r>
    </w:p>
    <w:p>
      <w:pPr>
        <w:pStyle w:val="7"/>
        <w:spacing w:before="140" w:line="360" w:lineRule="auto"/>
        <w:ind w:left="0" w:right="357" w:firstLine="640" w:firstLineChars="200"/>
        <w:rPr>
          <w:rFonts w:ascii="黑体" w:hAnsi="黑体" w:eastAsia="黑体"/>
          <w:color w:val="333333"/>
          <w:sz w:val="32"/>
          <w:szCs w:val="32"/>
          <w:lang w:eastAsia="zh-CN"/>
        </w:rPr>
      </w:pPr>
      <w:r>
        <w:rPr>
          <w:rFonts w:hint="eastAsia" w:ascii="黑体" w:hAnsi="黑体" w:eastAsia="黑体"/>
          <w:color w:val="333333"/>
          <w:sz w:val="32"/>
          <w:szCs w:val="32"/>
          <w:lang w:eastAsia="zh-CN"/>
        </w:rPr>
        <w:t>六、其他</w:t>
      </w:r>
    </w:p>
    <w:p>
      <w:pPr>
        <w:pStyle w:val="14"/>
        <w:spacing w:line="360" w:lineRule="auto"/>
        <w:ind w:left="0" w:firstLine="0"/>
        <w:jc w:val="both"/>
        <w:rPr>
          <w:rFonts w:ascii="仿宋" w:hAnsi="仿宋" w:eastAsia="仿宋" w:cs="仿宋"/>
          <w:color w:val="000000"/>
          <w:sz w:val="32"/>
          <w:szCs w:val="32"/>
          <w:lang w:eastAsia="zh-CN"/>
        </w:rPr>
      </w:pPr>
      <w:r>
        <w:rPr>
          <w:rFonts w:hint="eastAsia" w:ascii="仿宋" w:hAnsi="仿宋" w:eastAsia="仿宋" w:cs="仿宋"/>
          <w:color w:val="000000"/>
          <w:sz w:val="32"/>
          <w:szCs w:val="32"/>
          <w:lang w:eastAsia="zh-CN"/>
        </w:rPr>
        <w:t xml:space="preserve">    （一）本指南由北京易华录信息技术股份有限公司负责解释。</w:t>
      </w:r>
    </w:p>
    <w:p>
      <w:pPr>
        <w:pStyle w:val="14"/>
        <w:spacing w:line="360" w:lineRule="auto"/>
        <w:ind w:left="640" w:firstLine="0"/>
        <w:jc w:val="both"/>
        <w:rPr>
          <w:rFonts w:ascii="仿宋" w:hAnsi="仿宋" w:eastAsia="仿宋" w:cs="仿宋"/>
          <w:color w:val="000000"/>
          <w:sz w:val="32"/>
          <w:szCs w:val="32"/>
          <w:lang w:eastAsia="zh-CN"/>
        </w:rPr>
      </w:pPr>
      <w:r>
        <w:rPr>
          <w:rFonts w:hint="eastAsia" w:ascii="仿宋" w:hAnsi="仿宋" w:eastAsia="仿宋" w:cs="仿宋"/>
          <w:color w:val="000000"/>
          <w:sz w:val="32"/>
          <w:szCs w:val="32"/>
          <w:lang w:eastAsia="zh-CN"/>
        </w:rPr>
        <w:t>（二）本指南自2023年3月2</w:t>
      </w:r>
      <w:r>
        <w:rPr>
          <w:rFonts w:hint="eastAsia" w:ascii="仿宋" w:hAnsi="仿宋" w:eastAsia="仿宋" w:cs="仿宋"/>
          <w:color w:val="000000"/>
          <w:sz w:val="32"/>
          <w:szCs w:val="32"/>
          <w:lang w:val="en-US" w:eastAsia="zh-CN"/>
        </w:rPr>
        <w:t>7</w:t>
      </w:r>
      <w:r>
        <w:rPr>
          <w:rFonts w:hint="eastAsia" w:ascii="仿宋" w:hAnsi="仿宋" w:eastAsia="仿宋" w:cs="仿宋"/>
          <w:color w:val="000000"/>
          <w:sz w:val="32"/>
          <w:szCs w:val="32"/>
          <w:lang w:eastAsia="zh-CN"/>
        </w:rPr>
        <w:t>日起实施。</w:t>
      </w:r>
    </w:p>
    <w:p>
      <w:pPr>
        <w:rPr>
          <w:rFonts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br w:type="page"/>
      </w:r>
    </w:p>
    <w:p>
      <w:pPr>
        <w:spacing w:line="360" w:lineRule="auto"/>
        <w:jc w:val="both"/>
        <w:rPr>
          <w:rFonts w:ascii="黑体" w:hAnsi="黑体" w:eastAsia="黑体"/>
          <w:color w:val="333333"/>
          <w:sz w:val="32"/>
          <w:szCs w:val="32"/>
          <w:lang w:eastAsia="zh-CN"/>
        </w:rPr>
      </w:pPr>
      <w:r>
        <w:rPr>
          <w:rFonts w:ascii="黑体" w:hAnsi="黑体" w:eastAsia="黑体"/>
          <w:color w:val="333333"/>
          <w:sz w:val="32"/>
          <w:szCs w:val="32"/>
          <w:lang w:eastAsia="zh-CN"/>
        </w:rPr>
        <w:t>附：项目联合企业（单位）简介</w:t>
      </w:r>
    </w:p>
    <w:p>
      <w:pPr>
        <w:spacing w:before="120" w:beforeLines="50" w:line="360" w:lineRule="auto"/>
        <w:jc w:val="center"/>
        <w:rPr>
          <w:rFonts w:ascii="黑体" w:hAnsi="黑体" w:eastAsia="黑体"/>
          <w:color w:val="333333"/>
          <w:sz w:val="36"/>
          <w:szCs w:val="36"/>
          <w:lang w:eastAsia="zh-CN"/>
        </w:rPr>
      </w:pPr>
      <w:r>
        <w:rPr>
          <w:rFonts w:hint="eastAsia" w:ascii="黑体" w:hAnsi="黑体" w:eastAsia="黑体"/>
          <w:color w:val="333333"/>
          <w:sz w:val="36"/>
          <w:szCs w:val="36"/>
          <w:lang w:eastAsia="zh-CN"/>
        </w:rPr>
        <w:t>北京易华录信息技术股份有限公司</w:t>
      </w:r>
    </w:p>
    <w:p>
      <w:pPr>
        <w:spacing w:line="360" w:lineRule="auto"/>
        <w:ind w:firstLine="640" w:firstLineChars="200"/>
        <w:rPr>
          <w:rFonts w:ascii="仿宋" w:hAnsi="仿宋" w:eastAsia="仿宋" w:cs="仿宋"/>
          <w:color w:val="000000"/>
          <w:sz w:val="32"/>
          <w:szCs w:val="32"/>
          <w:lang w:eastAsia="zh-CN"/>
        </w:rPr>
      </w:pPr>
      <w:r>
        <w:rPr>
          <w:rFonts w:hint="eastAsia" w:ascii="仿宋" w:hAnsi="仿宋" w:eastAsia="仿宋" w:cs="仿宋"/>
          <w:color w:val="000000"/>
          <w:sz w:val="32"/>
          <w:szCs w:val="32"/>
          <w:lang w:eastAsia="zh-CN"/>
        </w:rPr>
        <w:t>中国华录·北京易华录信息技术股份有限公司（以下简称“易华录”）是华录集团旗下控股的上市公司。易华录致力于建设城市数字经济基础设施，实现数据“收、存、治、用、易”全生命周期管理，在天津、山东、山西、成都、安徽、青海等多地建有或在建平均占地100亩以上的数据湖园区。作为大数据产业国家队，北京易华录有多年行业内培训经验。作为核心起草单位参编工信部的《大数据从业人员能力要求》（SJ/T 11788-2021），并依托标准面向社会开展认证培训，为人才培养基地提供“理论+模拟+实战”的大数据人才培养体系。易华录设有中央研究院和数据资产研究院，拥有40余名国务院特殊津贴专家、百千万人才专家、院士、教授。20余年数以万记的真实项目经验和技术积淀，为数字技术人才培养基地奠定了扎实的技术研发基础。同时，易华录数据园区内配套建设数据中心、超运算中心、孵化场地、教学场地、虚拟化云桌面大数据实训平台、餐饮、住宿等生产、培训、生活配套设施，为易华录承载及建设数字技术人才培养基地多点布局打下了坚实的基础。</w:t>
      </w:r>
    </w:p>
    <w:p>
      <w:pPr>
        <w:spacing w:line="360" w:lineRule="auto"/>
        <w:ind w:firstLine="640" w:firstLineChars="200"/>
        <w:rPr>
          <w:rFonts w:ascii="仿宋" w:hAnsi="仿宋" w:eastAsia="仿宋" w:cs="仿宋"/>
          <w:color w:val="000000"/>
          <w:sz w:val="32"/>
          <w:szCs w:val="32"/>
          <w:lang w:eastAsia="zh-CN"/>
        </w:rPr>
      </w:pPr>
      <w:r>
        <w:rPr>
          <w:rFonts w:hint="eastAsia" w:ascii="仿宋" w:hAnsi="仿宋" w:eastAsia="仿宋" w:cs="仿宋"/>
          <w:color w:val="000000"/>
          <w:sz w:val="32"/>
          <w:szCs w:val="32"/>
          <w:lang w:eastAsia="zh-CN"/>
        </w:rPr>
        <w:t>基于国家大数据发展战略和信息安全保障要求，易华录公司发挥央企优势，紧紧把握政府社会管理服务创新需求，实施“数据湖+”发展战略，致力于建设城市数字经济基础设施。目前，易华录向全国各地推广数据湖模式，已落地运营33个数据湖，覆盖20个省自治区直辖市，提供海量数据存储、计算、城市大脑等大数据增值应用、园区运营等服务，携手400余家生态合作伙伴，推动公共大数据融合开放，深化大数据、云计算、智慧城市创新应用，支撑区域新旧动能转换，助力城市数字经济高质量发展。目前，易华录已经以部分园区为载体，建设大数据产业人才基地，承接大数据岗位认证培训、体系认证等工作。</w:t>
      </w:r>
    </w:p>
    <w:p>
      <w:pPr>
        <w:spacing w:line="360" w:lineRule="auto"/>
        <w:ind w:firstLine="640" w:firstLineChars="200"/>
        <w:jc w:val="both"/>
        <w:rPr>
          <w:rFonts w:ascii="Times New Roman" w:hAnsi="Times New Roman" w:eastAsia="仿宋_GB2312" w:cs="Times New Roman"/>
          <w:color w:val="000000"/>
          <w:sz w:val="32"/>
          <w:szCs w:val="32"/>
          <w:lang w:eastAsia="zh-CN"/>
        </w:rPr>
      </w:pPr>
    </w:p>
    <w:sectPr>
      <w:footerReference r:id="rId3" w:type="default"/>
      <w:pgSz w:w="11910" w:h="16840"/>
      <w:pgMar w:top="1440" w:right="1800" w:bottom="1440" w:left="1800" w:header="0" w:footer="1023"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95C8A9E-115B-4BBC-8559-C102FB7BA6A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auto"/>
    <w:pitch w:val="default"/>
    <w:sig w:usb0="00000087" w:usb1="28AF4000" w:usb2="00000016" w:usb3="00000000" w:csb0="00100009" w:csb1="00000000"/>
  </w:font>
  <w:font w:name="仿宋_GB2312">
    <w:panose1 w:val="02010609030101010101"/>
    <w:charset w:val="86"/>
    <w:family w:val="auto"/>
    <w:pitch w:val="default"/>
    <w:sig w:usb0="00000001" w:usb1="080E0000" w:usb2="00000000" w:usb3="00000000" w:csb0="00040000" w:csb1="00000000"/>
    <w:embedRegular r:id="rId2" w:fontKey="{A921468E-2247-4D87-AA8C-4D87CE52A9DF}"/>
  </w:font>
  <w:font w:name="MS Mincho">
    <w:panose1 w:val="02020609040205080304"/>
    <w:charset w:val="80"/>
    <w:family w:val="auto"/>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embedRegular r:id="rId3" w:fontKey="{050C4D7E-BD9D-41F3-B1FC-E241D7C2010D}"/>
  </w:font>
  <w:font w:name="方正小标宋简体">
    <w:panose1 w:val="03000509000000000000"/>
    <w:charset w:val="86"/>
    <w:family w:val="auto"/>
    <w:pitch w:val="default"/>
    <w:sig w:usb0="00000001" w:usb1="080E0000" w:usb2="00000000" w:usb3="00000000" w:csb0="00040000" w:csb1="00000000"/>
    <w:embedRegular r:id="rId4" w:fontKey="{1C8EFF83-2EF1-4856-9CEB-90D542046C2D}"/>
  </w:font>
  <w:font w:name="方正小标宋_GBK">
    <w:panose1 w:val="02000000000000000000"/>
    <w:charset w:val="86"/>
    <w:family w:val="auto"/>
    <w:pitch w:val="default"/>
    <w:sig w:usb0="A00002BF" w:usb1="38CF7CFA" w:usb2="00082016" w:usb3="00000000" w:csb0="00040001" w:csb1="00000000"/>
    <w:embedRegular r:id="rId5" w:fontKey="{C847D53E-4EC7-496C-AC5A-5C5001240212}"/>
  </w:font>
  <w:font w:name="楷体">
    <w:panose1 w:val="02010609060101010101"/>
    <w:charset w:val="86"/>
    <w:family w:val="auto"/>
    <w:pitch w:val="default"/>
    <w:sig w:usb0="800002BF" w:usb1="38CF7CFA" w:usb2="00000016" w:usb3="00000000" w:csb0="00040001" w:csb1="00000000"/>
    <w:embedRegular r:id="rId6" w:fontKey="{0A0B51B3-DB76-4116-850C-86D9F401D4E1}"/>
  </w:font>
  <w:font w:name="新宋体">
    <w:panose1 w:val="02010609030101010101"/>
    <w:charset w:val="86"/>
    <w:family w:val="auto"/>
    <w:pitch w:val="default"/>
    <w:sig w:usb0="00000003" w:usb1="288F0000" w:usb2="00000006" w:usb3="00000000" w:csb0="00040001" w:csb1="00000000"/>
    <w:embedRegular r:id="rId7" w:fontKey="{F4DC9707-DA1E-4667-8EB0-AE00D46BC830}"/>
  </w:font>
  <w:font w:name="华文行楷">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姚体">
    <w:panose1 w:val="02010601030101010101"/>
    <w:charset w:val="86"/>
    <w:family w:val="auto"/>
    <w:pitch w:val="default"/>
    <w:sig w:usb0="00000003"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fldChar w:fldCharType="begin"/>
    </w:r>
    <w:r>
      <w:instrText xml:space="preserve">PAGE   \* MERGEFORMAT</w:instrText>
    </w:r>
    <w:r>
      <w:fldChar w:fldCharType="separate"/>
    </w:r>
    <w:r>
      <w:rPr>
        <w:lang w:val="zh-CN" w:eastAsia="zh-CN"/>
      </w:rPr>
      <w:t>10</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964FB"/>
    <w:multiLevelType w:val="singleLevel"/>
    <w:tmpl w:val="900964F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mNzgxNjY0ZmNiZTRlNjEzNjQ1YzhiNWU0ODUwYWYifQ=="/>
  </w:docVars>
  <w:rsids>
    <w:rsidRoot w:val="00603D3D"/>
    <w:rsid w:val="00076C9D"/>
    <w:rsid w:val="00094414"/>
    <w:rsid w:val="00095D70"/>
    <w:rsid w:val="000B5305"/>
    <w:rsid w:val="000C2C7A"/>
    <w:rsid w:val="000C6DF3"/>
    <w:rsid w:val="000F567E"/>
    <w:rsid w:val="00125683"/>
    <w:rsid w:val="001338AF"/>
    <w:rsid w:val="00155199"/>
    <w:rsid w:val="00174F62"/>
    <w:rsid w:val="00184E81"/>
    <w:rsid w:val="001E19B7"/>
    <w:rsid w:val="001E3000"/>
    <w:rsid w:val="001F410B"/>
    <w:rsid w:val="00205E5A"/>
    <w:rsid w:val="002161E9"/>
    <w:rsid w:val="002267DE"/>
    <w:rsid w:val="00257D5C"/>
    <w:rsid w:val="002707AF"/>
    <w:rsid w:val="00320E2D"/>
    <w:rsid w:val="00333A98"/>
    <w:rsid w:val="00350E0A"/>
    <w:rsid w:val="003518C5"/>
    <w:rsid w:val="00353D43"/>
    <w:rsid w:val="00373EE0"/>
    <w:rsid w:val="00387305"/>
    <w:rsid w:val="003C7DA3"/>
    <w:rsid w:val="003F225B"/>
    <w:rsid w:val="003F79DC"/>
    <w:rsid w:val="0041027A"/>
    <w:rsid w:val="004104E6"/>
    <w:rsid w:val="00467445"/>
    <w:rsid w:val="004B3A2A"/>
    <w:rsid w:val="004C3525"/>
    <w:rsid w:val="004E0A3F"/>
    <w:rsid w:val="004F7700"/>
    <w:rsid w:val="00524EE1"/>
    <w:rsid w:val="00571861"/>
    <w:rsid w:val="00585CE8"/>
    <w:rsid w:val="0059024A"/>
    <w:rsid w:val="00593A24"/>
    <w:rsid w:val="005F31CC"/>
    <w:rsid w:val="00601E89"/>
    <w:rsid w:val="00603D3D"/>
    <w:rsid w:val="006066A9"/>
    <w:rsid w:val="00634001"/>
    <w:rsid w:val="00672AAB"/>
    <w:rsid w:val="00692BA8"/>
    <w:rsid w:val="006C0AA4"/>
    <w:rsid w:val="006C6F50"/>
    <w:rsid w:val="006D08BB"/>
    <w:rsid w:val="006F3332"/>
    <w:rsid w:val="006F5D19"/>
    <w:rsid w:val="007615BE"/>
    <w:rsid w:val="00767E6E"/>
    <w:rsid w:val="007C6C62"/>
    <w:rsid w:val="007F2379"/>
    <w:rsid w:val="008063BF"/>
    <w:rsid w:val="00812ABC"/>
    <w:rsid w:val="00841560"/>
    <w:rsid w:val="008500AA"/>
    <w:rsid w:val="00863131"/>
    <w:rsid w:val="00874972"/>
    <w:rsid w:val="008958BA"/>
    <w:rsid w:val="008B15C7"/>
    <w:rsid w:val="008D29E6"/>
    <w:rsid w:val="008F05A4"/>
    <w:rsid w:val="008F1B7C"/>
    <w:rsid w:val="008F5178"/>
    <w:rsid w:val="008F785B"/>
    <w:rsid w:val="00922767"/>
    <w:rsid w:val="00984DAD"/>
    <w:rsid w:val="00990037"/>
    <w:rsid w:val="00994C07"/>
    <w:rsid w:val="00995C44"/>
    <w:rsid w:val="009967C1"/>
    <w:rsid w:val="009A4342"/>
    <w:rsid w:val="009A63DA"/>
    <w:rsid w:val="009F7AC3"/>
    <w:rsid w:val="00A0260B"/>
    <w:rsid w:val="00A45D10"/>
    <w:rsid w:val="00A60011"/>
    <w:rsid w:val="00A630F7"/>
    <w:rsid w:val="00A82B67"/>
    <w:rsid w:val="00A876CA"/>
    <w:rsid w:val="00AA17C1"/>
    <w:rsid w:val="00AB08BF"/>
    <w:rsid w:val="00AB691A"/>
    <w:rsid w:val="00AC1D42"/>
    <w:rsid w:val="00AD3DAD"/>
    <w:rsid w:val="00AD745D"/>
    <w:rsid w:val="00B22941"/>
    <w:rsid w:val="00B80FB8"/>
    <w:rsid w:val="00B909A3"/>
    <w:rsid w:val="00C10A4D"/>
    <w:rsid w:val="00C56752"/>
    <w:rsid w:val="00C638E3"/>
    <w:rsid w:val="00C66D0E"/>
    <w:rsid w:val="00C72405"/>
    <w:rsid w:val="00CC1B18"/>
    <w:rsid w:val="00CF47E5"/>
    <w:rsid w:val="00D06539"/>
    <w:rsid w:val="00D244A1"/>
    <w:rsid w:val="00D34310"/>
    <w:rsid w:val="00D44430"/>
    <w:rsid w:val="00DC57D5"/>
    <w:rsid w:val="00DD45AF"/>
    <w:rsid w:val="00DE4A69"/>
    <w:rsid w:val="00DE5ED1"/>
    <w:rsid w:val="00DF499F"/>
    <w:rsid w:val="00E1759F"/>
    <w:rsid w:val="00E34C93"/>
    <w:rsid w:val="00E360A4"/>
    <w:rsid w:val="00E51C3F"/>
    <w:rsid w:val="00EA2A8F"/>
    <w:rsid w:val="00EF3E15"/>
    <w:rsid w:val="00F04D46"/>
    <w:rsid w:val="00F24125"/>
    <w:rsid w:val="00F2572E"/>
    <w:rsid w:val="00F82A63"/>
    <w:rsid w:val="00FB3C27"/>
    <w:rsid w:val="00FC4147"/>
    <w:rsid w:val="031861ED"/>
    <w:rsid w:val="046B19E4"/>
    <w:rsid w:val="0FC51FBB"/>
    <w:rsid w:val="10741442"/>
    <w:rsid w:val="1698541C"/>
    <w:rsid w:val="1C6D70A5"/>
    <w:rsid w:val="2100025F"/>
    <w:rsid w:val="246E64B3"/>
    <w:rsid w:val="29A21154"/>
    <w:rsid w:val="2C0E487F"/>
    <w:rsid w:val="3351531B"/>
    <w:rsid w:val="4660634E"/>
    <w:rsid w:val="53AC5534"/>
    <w:rsid w:val="53BD1625"/>
    <w:rsid w:val="5B1C04B7"/>
    <w:rsid w:val="694F621E"/>
    <w:rsid w:val="6C6074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en-US" w:eastAsia="en-US" w:bidi="ar-SA"/>
    </w:rPr>
  </w:style>
  <w:style w:type="paragraph" w:styleId="4">
    <w:name w:val="heading 1"/>
    <w:basedOn w:val="1"/>
    <w:next w:val="1"/>
    <w:link w:val="19"/>
    <w:qFormat/>
    <w:uiPriority w:val="9"/>
    <w:pPr>
      <w:spacing w:line="482" w:lineRule="exact"/>
      <w:ind w:left="756"/>
      <w:outlineLvl w:val="0"/>
    </w:pPr>
    <w:rPr>
      <w:rFonts w:ascii="Microsoft JhengHei" w:hAnsi="Microsoft JhengHei" w:eastAsia="Microsoft JhengHei" w:cs="Microsoft JhengHei"/>
      <w:b/>
      <w:bCs/>
      <w:sz w:val="32"/>
      <w:szCs w:val="32"/>
    </w:rPr>
  </w:style>
  <w:style w:type="paragraph" w:styleId="5">
    <w:name w:val="heading 2"/>
    <w:basedOn w:val="1"/>
    <w:next w:val="1"/>
    <w:link w:val="20"/>
    <w:unhideWhenUsed/>
    <w:qFormat/>
    <w:uiPriority w:val="9"/>
    <w:pPr>
      <w:spacing w:before="26"/>
      <w:ind w:left="903" w:hanging="275"/>
      <w:outlineLvl w:val="1"/>
    </w:pPr>
    <w:rPr>
      <w:rFonts w:ascii="Microsoft JhengHei" w:hAnsi="Microsoft JhengHei" w:eastAsia="Microsoft JhengHei" w:cs="Microsoft JhengHei"/>
      <w:b/>
      <w:bCs/>
      <w:sz w:val="28"/>
      <w:szCs w:val="28"/>
    </w:rPr>
  </w:style>
  <w:style w:type="character" w:default="1" w:styleId="12">
    <w:name w:val="Default Paragraph Font"/>
    <w:unhideWhenUsed/>
    <w:qFormat/>
    <w:uiPriority w:val="1"/>
  </w:style>
  <w:style w:type="table" w:default="1" w:styleId="11">
    <w:name w:val="Normal Table"/>
    <w:unhideWhenUsed/>
    <w:uiPriority w:val="99"/>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leftChars="200" w:firstLine="420"/>
    </w:pPr>
    <w:rPr>
      <w:rFonts w:ascii="Times New Roman" w:hAnsi="Times New Roman"/>
    </w:rPr>
  </w:style>
  <w:style w:type="paragraph" w:styleId="3">
    <w:name w:val="Body Text Indent"/>
    <w:basedOn w:val="1"/>
    <w:next w:val="1"/>
    <w:qFormat/>
    <w:uiPriority w:val="0"/>
    <w:pPr>
      <w:spacing w:line="600" w:lineRule="exact"/>
      <w:ind w:firstLine="560"/>
    </w:pPr>
  </w:style>
  <w:style w:type="paragraph" w:styleId="6">
    <w:name w:val="annotation text"/>
    <w:basedOn w:val="1"/>
    <w:link w:val="24"/>
    <w:unhideWhenUsed/>
    <w:qFormat/>
    <w:uiPriority w:val="0"/>
  </w:style>
  <w:style w:type="paragraph" w:styleId="7">
    <w:name w:val="Body Text"/>
    <w:basedOn w:val="1"/>
    <w:link w:val="21"/>
    <w:qFormat/>
    <w:uiPriority w:val="1"/>
    <w:pPr>
      <w:ind w:left="118" w:right="375" w:firstLine="559"/>
      <w:jc w:val="both"/>
    </w:pPr>
    <w:rPr>
      <w:sz w:val="28"/>
      <w:szCs w:val="28"/>
    </w:rPr>
  </w:style>
  <w:style w:type="paragraph" w:styleId="8">
    <w:name w:val="footer"/>
    <w:basedOn w:val="1"/>
    <w:link w:val="23"/>
    <w:unhideWhenUsed/>
    <w:qFormat/>
    <w:uiPriority w:val="99"/>
    <w:pPr>
      <w:tabs>
        <w:tab w:val="center" w:pos="4153"/>
        <w:tab w:val="right" w:pos="8306"/>
      </w:tabs>
      <w:snapToGrid w:val="0"/>
    </w:pPr>
    <w:rPr>
      <w:sz w:val="18"/>
      <w:szCs w:val="18"/>
    </w:rPr>
  </w:style>
  <w:style w:type="paragraph" w:styleId="9">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annotation subject"/>
    <w:basedOn w:val="6"/>
    <w:next w:val="6"/>
    <w:link w:val="25"/>
    <w:unhideWhenUsed/>
    <w:qFormat/>
    <w:uiPriority w:val="0"/>
    <w:rPr>
      <w:b/>
      <w:bCs/>
    </w:rPr>
  </w:style>
  <w:style w:type="character" w:styleId="13">
    <w:name w:val="annotation reference"/>
    <w:basedOn w:val="12"/>
    <w:unhideWhenUsed/>
    <w:qFormat/>
    <w:uiPriority w:val="0"/>
    <w:rPr>
      <w:sz w:val="21"/>
      <w:szCs w:val="21"/>
    </w:rPr>
  </w:style>
  <w:style w:type="paragraph" w:customStyle="1" w:styleId="14">
    <w:name w:val="列出段落1"/>
    <w:basedOn w:val="1"/>
    <w:qFormat/>
    <w:uiPriority w:val="1"/>
    <w:pPr>
      <w:spacing w:before="26"/>
      <w:ind w:left="903" w:hanging="275"/>
    </w:pPr>
    <w:rPr>
      <w:rFonts w:ascii="Microsoft JhengHei" w:hAnsi="Microsoft JhengHei" w:eastAsia="Microsoft JhengHei" w:cs="Microsoft JhengHei"/>
    </w:rPr>
  </w:style>
  <w:style w:type="paragraph" w:customStyle="1" w:styleId="15">
    <w:name w:val="正文（缩进）"/>
    <w:basedOn w:val="1"/>
    <w:qFormat/>
    <w:uiPriority w:val="0"/>
    <w:pPr>
      <w:spacing w:before="156" w:after="156"/>
      <w:ind w:firstLine="480"/>
    </w:pPr>
  </w:style>
  <w:style w:type="paragraph" w:customStyle="1" w:styleId="16">
    <w:name w:val="样式1"/>
    <w:basedOn w:val="1"/>
    <w:qFormat/>
    <w:uiPriority w:val="0"/>
    <w:pPr>
      <w:ind w:firstLine="480"/>
    </w:pPr>
    <w:rPr>
      <w:sz w:val="24"/>
    </w:rPr>
  </w:style>
  <w:style w:type="paragraph" w:customStyle="1" w:styleId="17">
    <w:name w:val="修订1"/>
    <w:hidden/>
    <w:semiHidden/>
    <w:qFormat/>
    <w:uiPriority w:val="99"/>
    <w:rPr>
      <w:rFonts w:ascii="宋体" w:hAnsi="宋体" w:eastAsia="宋体" w:cs="宋体"/>
      <w:sz w:val="22"/>
      <w:szCs w:val="22"/>
      <w:lang w:val="en-US" w:eastAsia="en-US" w:bidi="ar-SA"/>
    </w:rPr>
  </w:style>
  <w:style w:type="paragraph" w:customStyle="1" w:styleId="18">
    <w:name w:val="修订2"/>
    <w:hidden/>
    <w:semiHidden/>
    <w:uiPriority w:val="99"/>
    <w:rPr>
      <w:rFonts w:ascii="宋体" w:hAnsi="宋体" w:eastAsia="宋体" w:cs="宋体"/>
      <w:sz w:val="22"/>
      <w:szCs w:val="22"/>
      <w:lang w:val="en-US" w:eastAsia="en-US" w:bidi="ar-SA"/>
    </w:rPr>
  </w:style>
  <w:style w:type="character" w:customStyle="1" w:styleId="19">
    <w:name w:val="标题 1 Char"/>
    <w:basedOn w:val="12"/>
    <w:link w:val="4"/>
    <w:qFormat/>
    <w:uiPriority w:val="9"/>
    <w:rPr>
      <w:rFonts w:ascii="Microsoft JhengHei" w:hAnsi="Microsoft JhengHei" w:eastAsia="Microsoft JhengHei" w:cs="Microsoft JhengHei"/>
      <w:b/>
      <w:bCs/>
      <w:kern w:val="0"/>
      <w:sz w:val="32"/>
      <w:szCs w:val="32"/>
      <w:lang w:eastAsia="en-US"/>
    </w:rPr>
  </w:style>
  <w:style w:type="character" w:customStyle="1" w:styleId="20">
    <w:name w:val="标题 2 Char"/>
    <w:basedOn w:val="12"/>
    <w:link w:val="5"/>
    <w:qFormat/>
    <w:uiPriority w:val="9"/>
    <w:rPr>
      <w:rFonts w:ascii="Microsoft JhengHei" w:hAnsi="Microsoft JhengHei" w:eastAsia="Microsoft JhengHei" w:cs="Microsoft JhengHei"/>
      <w:b/>
      <w:bCs/>
      <w:kern w:val="0"/>
      <w:sz w:val="28"/>
      <w:szCs w:val="28"/>
      <w:lang w:eastAsia="en-US"/>
    </w:rPr>
  </w:style>
  <w:style w:type="character" w:customStyle="1" w:styleId="21">
    <w:name w:val="正文文本 Char"/>
    <w:basedOn w:val="12"/>
    <w:link w:val="7"/>
    <w:qFormat/>
    <w:uiPriority w:val="1"/>
    <w:rPr>
      <w:rFonts w:ascii="宋体" w:hAnsi="宋体" w:eastAsia="宋体" w:cs="宋体"/>
      <w:kern w:val="0"/>
      <w:sz w:val="28"/>
      <w:szCs w:val="28"/>
      <w:lang w:eastAsia="en-US"/>
    </w:rPr>
  </w:style>
  <w:style w:type="character" w:customStyle="1" w:styleId="22">
    <w:name w:val="页眉 Char"/>
    <w:basedOn w:val="12"/>
    <w:link w:val="9"/>
    <w:qFormat/>
    <w:uiPriority w:val="99"/>
    <w:rPr>
      <w:rFonts w:ascii="宋体" w:hAnsi="宋体" w:eastAsia="宋体" w:cs="宋体"/>
      <w:kern w:val="0"/>
      <w:sz w:val="18"/>
      <w:szCs w:val="18"/>
      <w:lang w:eastAsia="en-US"/>
    </w:rPr>
  </w:style>
  <w:style w:type="character" w:customStyle="1" w:styleId="23">
    <w:name w:val="页脚 Char"/>
    <w:basedOn w:val="12"/>
    <w:link w:val="8"/>
    <w:qFormat/>
    <w:uiPriority w:val="99"/>
    <w:rPr>
      <w:rFonts w:ascii="宋体" w:hAnsi="宋体" w:eastAsia="宋体" w:cs="宋体"/>
      <w:kern w:val="0"/>
      <w:sz w:val="18"/>
      <w:szCs w:val="18"/>
      <w:lang w:eastAsia="en-US"/>
    </w:rPr>
  </w:style>
  <w:style w:type="character" w:customStyle="1" w:styleId="24">
    <w:name w:val="批注文字 Char"/>
    <w:basedOn w:val="12"/>
    <w:link w:val="6"/>
    <w:semiHidden/>
    <w:qFormat/>
    <w:uiPriority w:val="0"/>
    <w:rPr>
      <w:rFonts w:ascii="宋体" w:hAnsi="宋体" w:cs="宋体"/>
      <w:sz w:val="22"/>
      <w:szCs w:val="22"/>
      <w:lang w:eastAsia="en-US"/>
    </w:rPr>
  </w:style>
  <w:style w:type="character" w:customStyle="1" w:styleId="25">
    <w:name w:val="批注主题 Char"/>
    <w:basedOn w:val="24"/>
    <w:link w:val="10"/>
    <w:semiHidden/>
    <w:qFormat/>
    <w:uiPriority w:val="0"/>
    <w:rPr>
      <w:rFonts w:ascii="宋体" w:hAnsi="宋体" w:cs="宋体"/>
      <w:b/>
      <w:bCs/>
      <w:sz w:val="22"/>
      <w:szCs w:val="2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4034</Words>
  <Characters>4085</Characters>
  <Lines>29</Lines>
  <Paragraphs>8</Paragraphs>
  <TotalTime>17</TotalTime>
  <ScaleCrop>false</ScaleCrop>
  <LinksUpToDate>false</LinksUpToDate>
  <CharactersWithSpaces>4095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2023-03-17T02:48:00Z</dcterms:created>
  <dc:creator>wonder wang</dc:creator>
  <cp:lastModifiedBy>诞诞</cp:lastModifiedBy>
  <dcterms:modified xsi:type="dcterms:W3CDTF">2023-03-28T00:58:36Z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F412A1B9D46243989A60D421407791A6</vt:lpwstr>
  </property>
</Properties>
</file>